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2893" w14:textId="7C3D2950" w:rsidR="00EC3196" w:rsidRDefault="00EC3196" w:rsidP="00EC3196">
      <w:pPr>
        <w:spacing w:line="360" w:lineRule="exact"/>
        <w:ind w:left="720" w:hanging="360"/>
        <w:jc w:val="center"/>
        <w:rPr>
          <w:b/>
          <w:bCs/>
          <w:sz w:val="24"/>
          <w:szCs w:val="24"/>
          <w:u w:val="single"/>
        </w:rPr>
      </w:pPr>
      <w:r w:rsidRPr="00EC3196">
        <w:rPr>
          <w:b/>
          <w:bCs/>
          <w:sz w:val="24"/>
          <w:szCs w:val="24"/>
          <w:u w:val="single"/>
        </w:rPr>
        <w:t>ACQUISTO MONOGRAFIE 2023</w:t>
      </w:r>
    </w:p>
    <w:p w14:paraId="5166E5DC" w14:textId="77777777" w:rsidR="00EC3196" w:rsidRPr="00EC3196" w:rsidRDefault="00EC3196" w:rsidP="00EC3196">
      <w:pPr>
        <w:spacing w:line="360" w:lineRule="exact"/>
        <w:ind w:left="720" w:hanging="360"/>
        <w:jc w:val="center"/>
        <w:rPr>
          <w:b/>
          <w:bCs/>
          <w:sz w:val="24"/>
          <w:szCs w:val="24"/>
          <w:u w:val="single"/>
        </w:rPr>
      </w:pPr>
    </w:p>
    <w:p w14:paraId="4267D047" w14:textId="1A4FD4ED" w:rsidR="00EC3196" w:rsidRPr="00EC3196" w:rsidRDefault="00EC3196" w:rsidP="00EC3196">
      <w:pPr>
        <w:pStyle w:val="Corpotesto"/>
        <w:numPr>
          <w:ilvl w:val="0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proofErr w:type="spellStart"/>
      <w:r w:rsidRPr="00EC3196">
        <w:rPr>
          <w:rFonts w:ascii="Calibri" w:hAnsi="Calibri" w:cs="Calibri"/>
          <w:b w:val="0"/>
          <w:szCs w:val="24"/>
        </w:rPr>
        <w:t>Tiscini</w:t>
      </w:r>
      <w:proofErr w:type="spellEnd"/>
      <w:r w:rsidRPr="00EC3196">
        <w:rPr>
          <w:rFonts w:ascii="Calibri" w:hAnsi="Calibri" w:cs="Calibri"/>
          <w:b w:val="0"/>
          <w:szCs w:val="24"/>
        </w:rPr>
        <w:t>, La riforma Cartabia del processo civile: Commento al d.lgs. 10 ottobre 2022, n. 149, Pacini, 2023</w:t>
      </w:r>
      <w:r w:rsidR="00635052">
        <w:rPr>
          <w:rFonts w:ascii="Calibri" w:hAnsi="Calibri" w:cs="Calibri"/>
          <w:b w:val="0"/>
          <w:szCs w:val="24"/>
        </w:rPr>
        <w:tab/>
      </w:r>
      <w:hyperlink r:id="rId5" w:history="1">
        <w:r w:rsidR="00635052" w:rsidRPr="00635052">
          <w:rPr>
            <w:rStyle w:val="Collegamentoipertestuale"/>
            <w:rFonts w:ascii="Calibri" w:hAnsi="Calibri" w:cs="Calibri"/>
            <w:b w:val="0"/>
            <w:szCs w:val="24"/>
          </w:rPr>
          <w:t>INDICE</w:t>
        </w:r>
      </w:hyperlink>
    </w:p>
    <w:p w14:paraId="1228E5EF" w14:textId="77777777" w:rsidR="00EC3196" w:rsidRPr="00EC3196" w:rsidRDefault="00EC3196" w:rsidP="00EC3196">
      <w:pPr>
        <w:pStyle w:val="Corpotesto"/>
        <w:spacing w:line="360" w:lineRule="exact"/>
        <w:ind w:left="720"/>
        <w:rPr>
          <w:rFonts w:ascii="Calibri" w:hAnsi="Calibri" w:cs="Calibri"/>
          <w:b w:val="0"/>
          <w:szCs w:val="24"/>
        </w:rPr>
      </w:pPr>
    </w:p>
    <w:p w14:paraId="23AE1A12" w14:textId="28C7B628" w:rsidR="00EC3196" w:rsidRPr="00EC3196" w:rsidRDefault="00EC3196" w:rsidP="00EC3196">
      <w:pPr>
        <w:pStyle w:val="Corpotesto"/>
        <w:numPr>
          <w:ilvl w:val="0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proofErr w:type="spellStart"/>
      <w:r w:rsidRPr="00EC3196">
        <w:rPr>
          <w:rFonts w:ascii="Calibri" w:hAnsi="Calibri" w:cs="Calibri"/>
          <w:b w:val="0"/>
          <w:szCs w:val="24"/>
        </w:rPr>
        <w:t>Cecchella</w:t>
      </w:r>
      <w:proofErr w:type="spellEnd"/>
      <w:r w:rsidRPr="00EC3196">
        <w:rPr>
          <w:rFonts w:ascii="Calibri" w:hAnsi="Calibri" w:cs="Calibri"/>
          <w:b w:val="0"/>
          <w:szCs w:val="24"/>
        </w:rPr>
        <w:t>, Il processo civile dopo la riforma, Zanichelli, 2023</w:t>
      </w:r>
      <w:r w:rsidR="00635052">
        <w:rPr>
          <w:rFonts w:ascii="Calibri" w:hAnsi="Calibri" w:cs="Calibri"/>
          <w:b w:val="0"/>
          <w:szCs w:val="24"/>
        </w:rPr>
        <w:tab/>
      </w:r>
      <w:hyperlink r:id="rId6" w:history="1">
        <w:r w:rsidR="00635052" w:rsidRPr="00635052">
          <w:rPr>
            <w:rStyle w:val="Collegamentoipertestuale"/>
            <w:rFonts w:ascii="Calibri" w:hAnsi="Calibri" w:cs="Calibri"/>
            <w:b w:val="0"/>
            <w:szCs w:val="24"/>
          </w:rPr>
          <w:t>INDICE</w:t>
        </w:r>
      </w:hyperlink>
    </w:p>
    <w:p w14:paraId="64B92A40" w14:textId="77777777" w:rsidR="00EC3196" w:rsidRPr="00EC3196" w:rsidRDefault="00EC3196" w:rsidP="00EC3196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692AFC0E" w14:textId="63D5BADC" w:rsidR="00EC3196" w:rsidRPr="00EC3196" w:rsidRDefault="00EC3196" w:rsidP="00EC3196">
      <w:pPr>
        <w:pStyle w:val="Corpotesto"/>
        <w:numPr>
          <w:ilvl w:val="0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r w:rsidRPr="00EC3196">
        <w:rPr>
          <w:rFonts w:ascii="Calibri" w:hAnsi="Calibri" w:cs="Calibri"/>
          <w:b w:val="0"/>
          <w:szCs w:val="24"/>
        </w:rPr>
        <w:t>Castronuovo, Riforma Cartabia: La nuova giustizia penale, Cedam, 2023</w:t>
      </w:r>
      <w:r w:rsidR="00635052">
        <w:rPr>
          <w:rFonts w:ascii="Calibri" w:hAnsi="Calibri" w:cs="Calibri"/>
          <w:b w:val="0"/>
          <w:szCs w:val="24"/>
        </w:rPr>
        <w:tab/>
      </w:r>
      <w:hyperlink r:id="rId7" w:history="1">
        <w:r w:rsidR="00167E58" w:rsidRPr="00167E58">
          <w:rPr>
            <w:rStyle w:val="Collegamentoipertestuale"/>
            <w:rFonts w:ascii="Calibri" w:hAnsi="Calibri" w:cs="Calibri"/>
            <w:b w:val="0"/>
            <w:szCs w:val="24"/>
          </w:rPr>
          <w:t>INDICE</w:t>
        </w:r>
      </w:hyperlink>
    </w:p>
    <w:p w14:paraId="3C7941DF" w14:textId="77777777" w:rsidR="00EC3196" w:rsidRPr="00EC3196" w:rsidRDefault="00EC3196" w:rsidP="00EC3196">
      <w:pPr>
        <w:pStyle w:val="Corpotesto"/>
        <w:spacing w:line="360" w:lineRule="exact"/>
        <w:rPr>
          <w:rFonts w:ascii="Calibri" w:hAnsi="Calibri" w:cs="Calibri"/>
          <w:b w:val="0"/>
          <w:szCs w:val="24"/>
        </w:rPr>
      </w:pPr>
    </w:p>
    <w:p w14:paraId="311484EC" w14:textId="37325B88" w:rsidR="00EC3196" w:rsidRPr="00EC3196" w:rsidRDefault="00EC3196" w:rsidP="00EC3196">
      <w:pPr>
        <w:pStyle w:val="Corpotesto"/>
        <w:numPr>
          <w:ilvl w:val="0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proofErr w:type="spellStart"/>
      <w:r w:rsidRPr="00EC3196">
        <w:rPr>
          <w:rFonts w:ascii="Calibri" w:hAnsi="Calibri" w:cs="Calibri"/>
          <w:b w:val="0"/>
          <w:szCs w:val="24"/>
        </w:rPr>
        <w:t>Spangher</w:t>
      </w:r>
      <w:proofErr w:type="spellEnd"/>
      <w:r w:rsidRPr="00EC3196">
        <w:rPr>
          <w:rFonts w:ascii="Calibri" w:hAnsi="Calibri" w:cs="Calibri"/>
          <w:b w:val="0"/>
          <w:szCs w:val="24"/>
        </w:rPr>
        <w:t>, La riforma Cartabia: Codice penale - Codice di procedura penale - Giustizia riparativa, Pacini, 2022</w:t>
      </w:r>
      <w:r w:rsidR="00167E58">
        <w:rPr>
          <w:rFonts w:ascii="Calibri" w:hAnsi="Calibri" w:cs="Calibri"/>
          <w:b w:val="0"/>
          <w:szCs w:val="24"/>
        </w:rPr>
        <w:tab/>
      </w:r>
      <w:hyperlink r:id="rId8" w:history="1">
        <w:r w:rsidR="00167E58" w:rsidRPr="00167E58">
          <w:rPr>
            <w:rStyle w:val="Collegamentoipertestuale"/>
            <w:rFonts w:ascii="Calibri" w:hAnsi="Calibri" w:cs="Calibri"/>
            <w:b w:val="0"/>
            <w:szCs w:val="24"/>
          </w:rPr>
          <w:t>INDICE</w:t>
        </w:r>
      </w:hyperlink>
    </w:p>
    <w:p w14:paraId="2FBD6E61" w14:textId="77777777" w:rsidR="00EC3196" w:rsidRPr="00EC3196" w:rsidRDefault="00EC3196" w:rsidP="00EC3196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009F4651" w14:textId="7823F0F1" w:rsidR="00EC3196" w:rsidRDefault="00EC3196" w:rsidP="00960656">
      <w:pPr>
        <w:pStyle w:val="Corpotesto"/>
        <w:numPr>
          <w:ilvl w:val="0"/>
          <w:numId w:val="1"/>
        </w:numPr>
        <w:spacing w:line="360" w:lineRule="exact"/>
        <w:rPr>
          <w:rFonts w:ascii="Calibri" w:hAnsi="Calibri" w:cs="Calibri"/>
          <w:b w:val="0"/>
          <w:bCs/>
          <w:szCs w:val="24"/>
        </w:rPr>
      </w:pPr>
      <w:r w:rsidRPr="00EC3196">
        <w:rPr>
          <w:rFonts w:ascii="Calibri" w:hAnsi="Calibri" w:cs="Calibri"/>
          <w:b w:val="0"/>
          <w:bCs/>
          <w:szCs w:val="24"/>
        </w:rPr>
        <w:t>Maffei Alberti, Commentario breve alle leggi su crisi di impresa e insolvenza, Cedam, 2023</w:t>
      </w:r>
      <w:r w:rsidR="00167E58">
        <w:rPr>
          <w:rFonts w:ascii="Calibri" w:hAnsi="Calibri" w:cs="Calibri"/>
          <w:b w:val="0"/>
          <w:bCs/>
          <w:szCs w:val="24"/>
        </w:rPr>
        <w:tab/>
      </w:r>
      <w:hyperlink r:id="rId9" w:history="1">
        <w:r w:rsidR="00167E58" w:rsidRPr="00167E58">
          <w:rPr>
            <w:rStyle w:val="Collegamentoipertestuale"/>
            <w:rFonts w:ascii="Calibri" w:hAnsi="Calibri" w:cs="Calibri"/>
            <w:b w:val="0"/>
            <w:bCs/>
            <w:szCs w:val="24"/>
          </w:rPr>
          <w:t>INDICE</w:t>
        </w:r>
      </w:hyperlink>
    </w:p>
    <w:p w14:paraId="0727C991" w14:textId="77777777" w:rsidR="00EC3196" w:rsidRDefault="00EC3196" w:rsidP="00EC3196">
      <w:pPr>
        <w:pStyle w:val="Paragrafoelenco"/>
        <w:rPr>
          <w:rFonts w:ascii="Calibri" w:hAnsi="Calibri" w:cs="Calibri"/>
          <w:b/>
          <w:bCs/>
          <w:szCs w:val="24"/>
        </w:rPr>
      </w:pPr>
    </w:p>
    <w:p w14:paraId="51615354" w14:textId="4985CC27" w:rsidR="00EC3196" w:rsidRPr="00EC3196" w:rsidRDefault="00EC3196" w:rsidP="00EC3196">
      <w:pPr>
        <w:pStyle w:val="Corpotesto"/>
        <w:numPr>
          <w:ilvl w:val="0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r w:rsidRPr="00EC3196">
        <w:rPr>
          <w:rFonts w:ascii="Calibri" w:hAnsi="Calibri" w:cs="Calibri"/>
          <w:b w:val="0"/>
          <w:szCs w:val="24"/>
        </w:rPr>
        <w:t>Fiandaca - Musco, Diritto penale: Parte Speciale. vol. 2.2: I delitti contro il patrimonio, VIII ed., Zanichelli, 2023</w:t>
      </w:r>
      <w:r w:rsidR="00167E58">
        <w:rPr>
          <w:rFonts w:ascii="Calibri" w:hAnsi="Calibri" w:cs="Calibri"/>
          <w:b w:val="0"/>
          <w:szCs w:val="24"/>
        </w:rPr>
        <w:tab/>
      </w:r>
      <w:hyperlink r:id="rId10" w:history="1">
        <w:r w:rsidR="00167E58" w:rsidRPr="00167E58">
          <w:rPr>
            <w:rStyle w:val="Collegamentoipertestuale"/>
            <w:rFonts w:ascii="Calibri" w:hAnsi="Calibri" w:cs="Calibri"/>
            <w:b w:val="0"/>
            <w:szCs w:val="24"/>
          </w:rPr>
          <w:t>INDICE</w:t>
        </w:r>
      </w:hyperlink>
    </w:p>
    <w:p w14:paraId="30B95792" w14:textId="77777777" w:rsidR="00EC3196" w:rsidRPr="00EC3196" w:rsidRDefault="00EC3196" w:rsidP="00EC3196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24889F31" w14:textId="6D929315" w:rsidR="00EC3196" w:rsidRPr="00EC3196" w:rsidRDefault="00EC3196" w:rsidP="00EC3196">
      <w:pPr>
        <w:pStyle w:val="Corpotesto"/>
        <w:numPr>
          <w:ilvl w:val="0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r w:rsidRPr="00EC3196">
        <w:rPr>
          <w:rFonts w:ascii="Calibri" w:hAnsi="Calibri" w:cs="Calibri"/>
          <w:b w:val="0"/>
          <w:szCs w:val="24"/>
        </w:rPr>
        <w:t xml:space="preserve">Giarda - </w:t>
      </w:r>
      <w:proofErr w:type="spellStart"/>
      <w:r w:rsidRPr="00EC3196">
        <w:rPr>
          <w:rFonts w:ascii="Calibri" w:hAnsi="Calibri" w:cs="Calibri"/>
          <w:b w:val="0"/>
          <w:szCs w:val="24"/>
        </w:rPr>
        <w:t>Spangher</w:t>
      </w:r>
      <w:proofErr w:type="spellEnd"/>
      <w:r w:rsidRPr="00EC3196">
        <w:rPr>
          <w:rFonts w:ascii="Calibri" w:hAnsi="Calibri" w:cs="Calibri"/>
          <w:b w:val="0"/>
          <w:szCs w:val="24"/>
        </w:rPr>
        <w:t>, Codice di procedura penale commentato, VI ed., 4 vol., Ipsoa, 2023</w:t>
      </w:r>
    </w:p>
    <w:p w14:paraId="3CF1897E" w14:textId="77777777" w:rsidR="00EC3196" w:rsidRPr="00EC3196" w:rsidRDefault="00EC3196" w:rsidP="00EC3196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2B2170CF" w14:textId="1670D1C9" w:rsidR="00EC3196" w:rsidRPr="00EC3196" w:rsidRDefault="00EC3196" w:rsidP="00EC3196">
      <w:pPr>
        <w:pStyle w:val="Corpotesto"/>
        <w:numPr>
          <w:ilvl w:val="0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r w:rsidRPr="00EC3196">
        <w:rPr>
          <w:rFonts w:ascii="Calibri" w:hAnsi="Calibri" w:cs="Calibri"/>
          <w:b w:val="0"/>
          <w:szCs w:val="24"/>
        </w:rPr>
        <w:t>Commentario Scialoja-Branca - Zanichelli:</w:t>
      </w:r>
    </w:p>
    <w:p w14:paraId="1636FA4B" w14:textId="41DA44EA" w:rsidR="00EC3196" w:rsidRPr="00EC3196" w:rsidRDefault="00EC3196" w:rsidP="00EC3196">
      <w:pPr>
        <w:pStyle w:val="Corpotesto"/>
        <w:numPr>
          <w:ilvl w:val="1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r w:rsidRPr="00EC3196">
        <w:rPr>
          <w:rFonts w:ascii="Calibri" w:hAnsi="Calibri" w:cs="Calibri"/>
          <w:b w:val="0"/>
          <w:szCs w:val="24"/>
        </w:rPr>
        <w:t xml:space="preserve">Carpino - Gabrielli, Pagamento con surrogazione: ART. 1201-1205, II ed., 2023 </w:t>
      </w:r>
    </w:p>
    <w:p w14:paraId="562CC98A" w14:textId="01CF1B00" w:rsidR="00EC3196" w:rsidRPr="00EC3196" w:rsidRDefault="00EC3196" w:rsidP="00EC3196">
      <w:pPr>
        <w:pStyle w:val="Corpotesto"/>
        <w:numPr>
          <w:ilvl w:val="1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r w:rsidRPr="00EC3196">
        <w:rPr>
          <w:rFonts w:ascii="Calibri" w:hAnsi="Calibri" w:cs="Calibri"/>
          <w:b w:val="0"/>
          <w:szCs w:val="24"/>
        </w:rPr>
        <w:t>Bertolotti, Conferimenti: ART. 2342-2345, 2023</w:t>
      </w:r>
    </w:p>
    <w:p w14:paraId="0F3C991D" w14:textId="5964879B" w:rsidR="00EC3196" w:rsidRPr="00EC3196" w:rsidRDefault="00EC3196" w:rsidP="00EC3196">
      <w:pPr>
        <w:pStyle w:val="Corpotesto"/>
        <w:numPr>
          <w:ilvl w:val="1"/>
          <w:numId w:val="1"/>
        </w:numPr>
        <w:spacing w:line="360" w:lineRule="exact"/>
        <w:rPr>
          <w:rFonts w:ascii="Calibri" w:hAnsi="Calibri" w:cs="Calibri"/>
          <w:b w:val="0"/>
          <w:szCs w:val="24"/>
        </w:rPr>
      </w:pPr>
      <w:r w:rsidRPr="00EC3196">
        <w:rPr>
          <w:rFonts w:ascii="Calibri" w:hAnsi="Calibri" w:cs="Calibri"/>
          <w:b w:val="0"/>
          <w:szCs w:val="24"/>
        </w:rPr>
        <w:t>Rossi, Diritti del convivente: ART. 230 TER, 2022</w:t>
      </w:r>
    </w:p>
    <w:p w14:paraId="224D4FA7" w14:textId="77777777" w:rsidR="00DF5B6A" w:rsidRPr="00EC3196" w:rsidRDefault="00DF5B6A">
      <w:pPr>
        <w:rPr>
          <w:sz w:val="24"/>
          <w:szCs w:val="24"/>
        </w:rPr>
      </w:pPr>
    </w:p>
    <w:sectPr w:rsidR="00DF5B6A" w:rsidRPr="00EC3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07A97"/>
    <w:multiLevelType w:val="hybridMultilevel"/>
    <w:tmpl w:val="02421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1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4"/>
    <w:rsid w:val="00167E58"/>
    <w:rsid w:val="00635052"/>
    <w:rsid w:val="00B2055B"/>
    <w:rsid w:val="00DF5B6A"/>
    <w:rsid w:val="00EC3196"/>
    <w:rsid w:val="00F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1510"/>
  <w15:chartTrackingRefBased/>
  <w15:docId w15:val="{F490B4CE-AE47-4B85-AD83-9A19DFE8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C3196"/>
    <w:pPr>
      <w:spacing w:after="0" w:line="48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3196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31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319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319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C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teappello.napoli.it/documentazione/D_945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rteappello.napoli.it/documentazione/D_945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teappello.napoli.it/documentazione/D_9451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rteappello.napoli.it/documentazione/D_94515.pdf" TargetMode="External"/><Relationship Id="rId10" Type="http://schemas.openxmlformats.org/officeDocument/2006/relationships/hyperlink" Target="https://www.corteappello.napoli.it/documentazione/D_945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teappello.napoli.it/documentazione/D_9452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Amodio</dc:creator>
  <cp:keywords/>
  <dc:description/>
  <cp:lastModifiedBy>Francesco Amodio</cp:lastModifiedBy>
  <cp:revision>4</cp:revision>
  <dcterms:created xsi:type="dcterms:W3CDTF">2023-06-14T11:35:00Z</dcterms:created>
  <dcterms:modified xsi:type="dcterms:W3CDTF">2023-06-14T12:59:00Z</dcterms:modified>
</cp:coreProperties>
</file>